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201</w:t>
      </w:r>
      <w:r>
        <w:rPr>
          <w:rFonts w:hint="eastAsia" w:ascii="宋体" w:hAnsi="宋体"/>
          <w:b/>
          <w:sz w:val="28"/>
          <w:lang w:val="en-US" w:eastAsia="zh-CN"/>
        </w:rPr>
        <w:t>9</w:t>
      </w:r>
      <w:r>
        <w:rPr>
          <w:rFonts w:hint="eastAsia" w:ascii="宋体" w:hAnsi="宋体"/>
          <w:b/>
          <w:sz w:val="28"/>
        </w:rPr>
        <w:t>至20</w:t>
      </w:r>
      <w:r>
        <w:rPr>
          <w:rFonts w:hint="eastAsia" w:ascii="宋体" w:hAnsi="宋体"/>
          <w:b/>
          <w:sz w:val="28"/>
          <w:lang w:val="en-US" w:eastAsia="zh-CN"/>
        </w:rPr>
        <w:t>20</w:t>
      </w:r>
      <w:r>
        <w:rPr>
          <w:rFonts w:hint="eastAsia" w:ascii="宋体" w:hAnsi="宋体"/>
          <w:b/>
          <w:sz w:val="28"/>
        </w:rPr>
        <w:t>学年 第一学期</w:t>
      </w:r>
    </w:p>
    <w:p>
      <w:pPr>
        <w:jc w:val="center"/>
        <w:rPr>
          <w:sz w:val="84"/>
        </w:rPr>
      </w:pPr>
    </w:p>
    <w:p>
      <w:pPr>
        <w:jc w:val="center"/>
        <w:rPr>
          <w:sz w:val="84"/>
        </w:rPr>
      </w:pPr>
      <w:r>
        <w:rPr>
          <w:rFonts w:hint="eastAsia"/>
          <w:sz w:val="84"/>
        </w:rPr>
        <w:t xml:space="preserve">教 学 日 历 </w:t>
      </w:r>
    </w:p>
    <w:p>
      <w:pPr>
        <w:jc w:val="center"/>
        <w:rPr>
          <w:b/>
          <w:sz w:val="84"/>
        </w:rPr>
      </w:pP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课程名称：</w:t>
      </w:r>
      <w:r>
        <w:rPr>
          <w:rFonts w:hint="eastAsia"/>
          <w:sz w:val="28"/>
        </w:rPr>
        <w:t>大学物理（II）</w:t>
      </w: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全英授课</w:t>
      </w:r>
      <w:r>
        <w:rPr>
          <w:rFonts w:hint="eastAsia"/>
          <w:sz w:val="28"/>
          <w:lang w:eastAsia="zh-CN"/>
        </w:rPr>
        <w:t>）</w:t>
      </w:r>
      <w:r>
        <w:rPr>
          <w:rFonts w:hint="eastAsia"/>
          <w:sz w:val="28"/>
        </w:rPr>
        <w:t xml:space="preserve">  </w:t>
      </w:r>
      <w:r>
        <w:rPr>
          <w:rFonts w:hint="eastAsia"/>
          <w:bCs/>
          <w:sz w:val="28"/>
        </w:rPr>
        <w:t>性质：必 修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 xml:space="preserve">总学时：64    讲课：64   实验：0  其它：0 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授课班级：201</w:t>
      </w:r>
      <w:r>
        <w:rPr>
          <w:rFonts w:hint="eastAsia"/>
          <w:bCs/>
          <w:sz w:val="28"/>
          <w:lang w:val="en-US" w:eastAsia="zh-CN"/>
        </w:rPr>
        <w:t>8</w:t>
      </w:r>
      <w:r>
        <w:rPr>
          <w:rFonts w:hint="eastAsia"/>
          <w:bCs/>
          <w:sz w:val="28"/>
        </w:rPr>
        <w:t>级      学生人数：＿</w:t>
      </w:r>
      <w:bookmarkStart w:id="0" w:name="_GoBack"/>
      <w:bookmarkEnd w:id="0"/>
      <w:r>
        <w:rPr>
          <w:rFonts w:hint="eastAsia"/>
          <w:bCs/>
          <w:sz w:val="28"/>
          <w:u w:val="single"/>
          <w:lang w:val="en-US" w:eastAsia="zh-CN"/>
        </w:rPr>
        <w:t>19</w:t>
      </w:r>
      <w:r>
        <w:rPr>
          <w:rFonts w:hint="eastAsia"/>
          <w:bCs/>
          <w:sz w:val="28"/>
          <w:u w:val="single"/>
        </w:rPr>
        <w:t>人＿</w:t>
      </w:r>
      <w:r>
        <w:rPr>
          <w:rFonts w:hint="eastAsia"/>
          <w:bCs/>
          <w:sz w:val="28"/>
        </w:rPr>
        <w:t>＿</w:t>
      </w:r>
    </w:p>
    <w:p>
      <w:pPr>
        <w:spacing w:line="480" w:lineRule="auto"/>
        <w:ind w:left="2870" w:leftChars="-100" w:hanging="3080" w:hangingChars="1100"/>
        <w:jc w:val="left"/>
        <w:rPr>
          <w:bCs/>
          <w:sz w:val="28"/>
        </w:rPr>
      </w:pPr>
      <w:r>
        <w:rPr>
          <w:rFonts w:hint="eastAsia"/>
          <w:bCs/>
          <w:sz w:val="28"/>
        </w:rPr>
        <w:t xml:space="preserve">  </w:t>
      </w:r>
      <w:r>
        <w:rPr>
          <w:bCs/>
          <w:sz w:val="28"/>
        </w:rPr>
        <w:t xml:space="preserve"> </w:t>
      </w:r>
      <w:r>
        <w:rPr>
          <w:rFonts w:hint="eastAsia"/>
          <w:bCs/>
          <w:sz w:val="28"/>
        </w:rPr>
        <w:t xml:space="preserve">  任课教师：</w:t>
      </w:r>
      <w:r>
        <w:rPr>
          <w:rFonts w:hint="eastAsia"/>
          <w:sz w:val="24"/>
        </w:rPr>
        <w:t xml:space="preserve"> 覃方丽 副教授</w:t>
      </w:r>
    </w:p>
    <w:p>
      <w:pPr>
        <w:spacing w:line="480" w:lineRule="auto"/>
        <w:ind w:firstLine="560" w:firstLineChars="200"/>
        <w:rPr>
          <w:bCs/>
          <w:sz w:val="28"/>
        </w:rPr>
      </w:pPr>
      <w:r>
        <w:rPr>
          <w:rFonts w:hint="eastAsia"/>
          <w:bCs/>
          <w:sz w:val="28"/>
        </w:rPr>
        <w:t>所在院(系、部)： 理学院</w:t>
      </w:r>
    </w:p>
    <w:p>
      <w:pPr>
        <w:spacing w:line="480" w:lineRule="auto"/>
        <w:ind w:firstLine="560" w:firstLineChars="200"/>
        <w:rPr>
          <w:sz w:val="28"/>
        </w:rPr>
      </w:pPr>
      <w:r>
        <w:rPr>
          <w:rFonts w:hint="eastAsia"/>
          <w:sz w:val="28"/>
        </w:rPr>
        <w:t>系(教研室)主任签字_________________________</w:t>
      </w:r>
    </w:p>
    <w:p>
      <w:pPr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　　教材名称：</w:t>
      </w:r>
      <w:r>
        <w:rPr>
          <w:rFonts w:hint="eastAsia" w:ascii="黑体" w:eastAsia="黑体"/>
          <w:sz w:val="24"/>
          <w:szCs w:val="24"/>
          <w:lang w:val="en-US" w:eastAsia="zh-CN"/>
        </w:rPr>
        <w:t xml:space="preserve">Zears and Zemansky's </w:t>
      </w:r>
      <w:r>
        <w:rPr>
          <w:rFonts w:hint="eastAsia"/>
          <w:sz w:val="28"/>
          <w:lang w:val="en-US" w:eastAsia="zh-CN"/>
        </w:rPr>
        <w:t>University Physics with Modern Physics</w:t>
      </w:r>
      <w:r>
        <w:rPr>
          <w:rFonts w:hint="eastAsia"/>
          <w:sz w:val="28"/>
        </w:rPr>
        <w:t xml:space="preserve"> </w:t>
      </w:r>
      <w:r>
        <w:rPr>
          <w:rFonts w:hint="eastAsia"/>
          <w:sz w:val="28"/>
          <w:lang w:val="en-US" w:eastAsia="zh-CN"/>
        </w:rPr>
        <w:t>作</w:t>
      </w:r>
      <w:r>
        <w:rPr>
          <w:rFonts w:hint="eastAsia"/>
          <w:sz w:val="28"/>
        </w:rPr>
        <w:t>者：</w:t>
      </w:r>
      <w:r>
        <w:rPr>
          <w:rFonts w:hint="eastAsia"/>
          <w:sz w:val="28"/>
          <w:lang w:val="en-US" w:eastAsia="zh-CN"/>
        </w:rPr>
        <w:t>Hugh D.Young, Roger A.Freedman</w:t>
      </w:r>
    </w:p>
    <w:p>
      <w:pPr>
        <w:rPr>
          <w:rFonts w:hint="default" w:eastAsia="宋体"/>
          <w:sz w:val="28"/>
          <w:lang w:val="en-US" w:eastAsia="zh-CN"/>
        </w:rPr>
      </w:pPr>
      <w:r>
        <w:rPr>
          <w:rFonts w:hint="eastAsia"/>
          <w:sz w:val="28"/>
        </w:rPr>
        <w:t>　　出版单位：</w:t>
      </w:r>
      <w:r>
        <w:rPr>
          <w:rFonts w:hint="eastAsia"/>
          <w:sz w:val="28"/>
          <w:lang w:val="en-US" w:eastAsia="zh-CN"/>
        </w:rPr>
        <w:t>机械工业</w:t>
      </w:r>
      <w:r>
        <w:rPr>
          <w:rFonts w:hint="eastAsia"/>
          <w:sz w:val="28"/>
        </w:rPr>
        <w:t>出版社　　 出版时间：</w:t>
      </w:r>
      <w:r>
        <w:rPr>
          <w:rFonts w:hint="eastAsia"/>
          <w:sz w:val="28"/>
          <w:lang w:val="en-US" w:eastAsia="zh-CN"/>
        </w:rPr>
        <w:t>2010.12（第12版）</w:t>
      </w:r>
    </w:p>
    <w:p>
      <w:pPr>
        <w:jc w:val="center"/>
        <w:rPr>
          <w:sz w:val="28"/>
        </w:rPr>
      </w:pPr>
    </w:p>
    <w:p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中国石油大学</w:t>
      </w:r>
      <w:r>
        <w:rPr>
          <w:sz w:val="32"/>
        </w:rPr>
        <w:t>(</w:t>
      </w:r>
      <w:r>
        <w:rPr>
          <w:rFonts w:hint="eastAsia"/>
          <w:sz w:val="32"/>
        </w:rPr>
        <w:t>北京</w:t>
      </w:r>
      <w:r>
        <w:rPr>
          <w:sz w:val="32"/>
        </w:rPr>
        <w:t>)</w:t>
      </w:r>
      <w:r>
        <w:rPr>
          <w:rFonts w:hint="eastAsia"/>
          <w:sz w:val="32"/>
        </w:rPr>
        <w:t>教务处制</w:t>
      </w:r>
    </w:p>
    <w:p>
      <w:pPr>
        <w:rPr>
          <w:rFonts w:hint="eastAsia" w:ascii="黑体" w:eastAsia="黑体"/>
          <w:sz w:val="24"/>
          <w:szCs w:val="24"/>
          <w:lang w:val="en-US" w:eastAsia="zh-CN"/>
        </w:rPr>
      </w:pPr>
    </w:p>
    <w:p>
      <w:pPr>
        <w:rPr>
          <w:rFonts w:ascii="黑体" w:eastAsia="黑体"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填 写 说</w:t>
      </w:r>
      <w:r>
        <w:rPr>
          <w:rFonts w:ascii="黑体" w:eastAsia="黑体"/>
          <w:sz w:val="24"/>
          <w:szCs w:val="24"/>
        </w:rPr>
        <w:t xml:space="preserve"> </w:t>
      </w:r>
      <w:r>
        <w:rPr>
          <w:rFonts w:hint="eastAsia" w:ascii="黑体" w:eastAsia="黑体"/>
          <w:sz w:val="24"/>
          <w:szCs w:val="24"/>
        </w:rPr>
        <w:t>明：</w:t>
      </w:r>
    </w:p>
    <w:p>
      <w:pPr>
        <w:ind w:left="360" w:hanging="360" w:hangingChars="150"/>
        <w:rPr>
          <w:rFonts w:ascii="黑体" w:eastAsia="黑体"/>
          <w:b/>
          <w:sz w:val="24"/>
          <w:szCs w:val="24"/>
        </w:rPr>
      </w:pPr>
      <w:r>
        <w:rPr>
          <w:rFonts w:hint="eastAsia" w:ascii="黑体" w:eastAsia="黑体"/>
          <w:sz w:val="24"/>
          <w:szCs w:val="24"/>
        </w:rPr>
        <w:t>1．</w:t>
      </w:r>
      <w:r>
        <w:rPr>
          <w:rFonts w:hint="eastAsia" w:ascii="宋体" w:hAnsi="宋体"/>
          <w:szCs w:val="21"/>
        </w:rPr>
        <w:t>每上一次课填写一行，节次填写数字“1－5”，一天共分5大节课，例如：一周上三次课填写三行，并在周学时栏合并单元格填写“6”，周一第3、4节，在节次栏中填写2。</w:t>
      </w:r>
    </w:p>
    <w:p>
      <w:pPr>
        <w:spacing w:line="300" w:lineRule="auto"/>
        <w:ind w:left="360" w:hanging="360" w:hangingChars="150"/>
      </w:pPr>
      <w:r>
        <w:rPr>
          <w:rFonts w:hint="eastAsia" w:ascii="黑体" w:eastAsia="黑体"/>
          <w:sz w:val="24"/>
          <w:szCs w:val="24"/>
        </w:rPr>
        <w:t>2．</w:t>
      </w:r>
      <w:r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>
      <w:pPr>
        <w:spacing w:line="300" w:lineRule="auto"/>
        <w:ind w:left="315" w:hanging="315" w:hangingChars="150"/>
      </w:pPr>
      <w:r>
        <w:rPr>
          <w:rFonts w:hint="eastAsia"/>
        </w:rPr>
        <w:t>3．上机、大作业、课堂讨论、外出参观、考试等如占课内学时，在“备注”栏内注明。</w:t>
      </w:r>
    </w:p>
    <w:p>
      <w:pPr>
        <w:ind w:left="315" w:hanging="315" w:hangingChars="150"/>
        <w:sectPr>
          <w:pgSz w:w="11907" w:h="16840"/>
          <w:pgMar w:top="1440" w:right="1797" w:bottom="1440" w:left="1797" w:header="851" w:footer="992" w:gutter="0"/>
          <w:cols w:space="425" w:num="1"/>
        </w:sectPr>
      </w:pPr>
      <w:r>
        <w:rPr>
          <w:rFonts w:hint="eastAsia"/>
        </w:rPr>
        <w:t>4．教学日历由教师自存一份、课程所属系存一份，在每学期开学后第一周内送课程所属院（系、部）办公室并发一份电子版给课程所属院（系、部）办公室；有实验和上机学时的须发一份电子版的给实践科sjk@cup.edu.cn</w:t>
      </w:r>
    </w:p>
    <w:tbl>
      <w:tblPr>
        <w:tblStyle w:val="6"/>
        <w:tblW w:w="9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77"/>
        <w:gridCol w:w="426"/>
        <w:gridCol w:w="4486"/>
        <w:gridCol w:w="719"/>
        <w:gridCol w:w="540"/>
        <w:gridCol w:w="540"/>
        <w:gridCol w:w="540"/>
        <w:gridCol w:w="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434" w:type="dxa"/>
            <w:gridSpan w:val="3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486" w:type="dxa"/>
            <w:vMerge w:val="restart"/>
          </w:tcPr>
          <w:p>
            <w:pPr>
              <w:jc w:val="center"/>
              <w:rPr>
                <w:sz w:val="30"/>
              </w:rPr>
            </w:pPr>
          </w:p>
          <w:p>
            <w:pPr>
              <w:jc w:val="center"/>
            </w:pPr>
            <w:r>
              <w:rPr>
                <w:rFonts w:hint="eastAsia"/>
                <w:sz w:val="30"/>
              </w:rPr>
              <w:t>授  课  内  容  提  要</w:t>
            </w:r>
          </w:p>
        </w:tc>
        <w:tc>
          <w:tcPr>
            <w:tcW w:w="719" w:type="dxa"/>
            <w:vMerge w:val="restart"/>
          </w:tcPr>
          <w:p>
            <w:pPr>
              <w:jc w:val="center"/>
            </w:pPr>
            <w:r>
              <w:rPr>
                <w:rFonts w:hint="eastAsia"/>
              </w:rPr>
              <w:t>周学时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（周学时大于2，可合并单元格）</w:t>
            </w:r>
          </w:p>
        </w:tc>
        <w:tc>
          <w:tcPr>
            <w:tcW w:w="1620" w:type="dxa"/>
            <w:gridSpan w:val="3"/>
          </w:tcPr>
          <w:p>
            <w:pPr>
              <w:jc w:val="center"/>
            </w:pPr>
            <w:r>
              <w:rPr>
                <w:rFonts w:hint="eastAsia"/>
              </w:rPr>
              <w:t>学时分配</w:t>
            </w:r>
          </w:p>
          <w:p>
            <w:pPr>
              <w:jc w:val="center"/>
            </w:pPr>
          </w:p>
        </w:tc>
        <w:tc>
          <w:tcPr>
            <w:tcW w:w="915" w:type="dxa"/>
            <w:vMerge w:val="restart"/>
          </w:tcPr>
          <w:p/>
          <w:p/>
          <w:p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</w:trPr>
        <w:tc>
          <w:tcPr>
            <w:tcW w:w="531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周次</w:t>
            </w:r>
          </w:p>
        </w:tc>
        <w:tc>
          <w:tcPr>
            <w:tcW w:w="477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</w:tcPr>
          <w:p>
            <w:pPr>
              <w:spacing w:line="240" w:lineRule="atLeast"/>
            </w:pPr>
            <w:r>
              <w:rPr>
                <w:rFonts w:hint="eastAsia"/>
              </w:rPr>
              <w:t>节次</w:t>
            </w:r>
          </w:p>
          <w:p>
            <w:pPr>
              <w:spacing w:line="240" w:lineRule="atLeast"/>
            </w:pPr>
          </w:p>
        </w:tc>
        <w:tc>
          <w:tcPr>
            <w:tcW w:w="4486" w:type="dxa"/>
            <w:vMerge w:val="continue"/>
          </w:tcPr>
          <w:p/>
        </w:tc>
        <w:tc>
          <w:tcPr>
            <w:tcW w:w="719" w:type="dxa"/>
            <w:vMerge w:val="continue"/>
          </w:tcPr>
          <w:p/>
        </w:tc>
        <w:tc>
          <w:tcPr>
            <w:tcW w:w="540" w:type="dxa"/>
          </w:tcPr>
          <w:p>
            <w:r>
              <w:rPr>
                <w:rFonts w:hint="eastAsia"/>
              </w:rPr>
              <w:t>讲课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实验</w:t>
            </w:r>
          </w:p>
        </w:tc>
        <w:tc>
          <w:tcPr>
            <w:tcW w:w="540" w:type="dxa"/>
          </w:tcPr>
          <w:p>
            <w:r>
              <w:rPr>
                <w:rFonts w:hint="eastAsia"/>
              </w:rPr>
              <w:t>习题</w:t>
            </w:r>
          </w:p>
        </w:tc>
        <w:tc>
          <w:tcPr>
            <w:tcW w:w="915" w:type="dxa"/>
            <w:vMerge w:val="continue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The Third Part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  <w:lang w:val="en-US" w:eastAsia="zh-CN"/>
              </w:rPr>
              <w:t>Thermodynamics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Chapter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1 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Temperature and Heat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1.1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Temperature and Thermal equilibrium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1.2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Thermometers and Temperature Scales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eastAsia" w:eastAsia="宋体"/>
                <w:lang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Calibri Light" w:hAnsi="Calibri Light" w:eastAsia="宋体" w:cs="mj-cs"/>
                <w:color w:val="000000"/>
                <w:kern w:val="24"/>
                <w:sz w:val="80"/>
                <w:szCs w:val="8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1.3 Thermal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expansion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1.4Quantity of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Heat and heat capacity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eastAsia="宋体"/>
                <w:color w:val="0000FF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1.5 phase changes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Times New Roman" w:hAnsi="Times New Roman" w:eastAsia="宋体" w:cs="mj-cs"/>
                <w:color w:val="000000"/>
                <w:kern w:val="24"/>
                <w:sz w:val="88"/>
                <w:szCs w:val="8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1.6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Mechanisms of heat transfer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Chapter 2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Thermal Properties of Matter</w:t>
            </w:r>
          </w:p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2.1Equations of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S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tate</w:t>
            </w:r>
          </w:p>
          <w:p>
            <w:pPr>
              <w:spacing w:line="240" w:lineRule="atLeast"/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pStyle w:val="5"/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bidi w:val="0"/>
              <w:spacing w:before="0" w:beforeAutospacing="0" w:after="0" w:afterAutospacing="0" w:line="240" w:lineRule="auto"/>
              <w:ind w:leftChars="0" w:right="0" w:rightChars="0"/>
              <w:jc w:val="left"/>
              <w:textAlignment w:val="baseline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2.2Molecular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P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roperties of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M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atter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mj-cs"/>
                <w:color w:val="000000"/>
                <w:sz w:val="88"/>
                <w:szCs w:val="88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2.3Kinetic-Molecular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M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odel of an Ideal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G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as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.4 The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E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quipartition</w:t>
            </w:r>
            <w:r>
              <w:rPr>
                <w:rFonts w:hint="eastAsia" w:ascii="Arial" w:hAnsi="Arial" w:cs="Arial"/>
                <w:i w:val="0"/>
                <w:caps w:val="0"/>
                <w:color w:val="333333"/>
                <w:spacing w:val="0"/>
                <w:sz w:val="36"/>
                <w:szCs w:val="36"/>
                <w:u w:val="none"/>
                <w:shd w:val="clear" w:fill="FFFFFF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Theorem and Internal Energy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FF"/>
                <w:szCs w:val="22"/>
                <w:lang w:val="en-US" w:eastAsia="zh-CN"/>
              </w:rPr>
              <w:t>Summary and Exercise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t>6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Chapter 3 The First Law of Thermodynamics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 xml:space="preserve">3.1 </w:t>
            </w:r>
            <w:r>
              <w:rPr>
                <w:rFonts w:hint="eastAsia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he First Law of Thermodynamics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3.2 The Application of the First Law of Thermodynamics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3.3     Adiabatic Process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3.4 The Cyclic Process and The Carnot cycle</w:t>
            </w:r>
          </w:p>
          <w:p>
            <w:pPr>
              <w:spacing w:line="240" w:lineRule="atLeast"/>
              <w:rPr>
                <w:color w:val="FF0000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Chapter 4 The Second Law of thermodynamics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4.1Reversible and Irreversible Process</w:t>
            </w:r>
          </w:p>
          <w:p>
            <w:pPr>
              <w:spacing w:line="240" w:lineRule="atLeast"/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4.2 Kelvin-Plank Statement and Clausius Statement of the Second Law of Thermodynamic</w:t>
            </w:r>
          </w:p>
          <w:p>
            <w:pPr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kern w:val="2"/>
                <w:sz w:val="21"/>
                <w:szCs w:val="22"/>
                <w:lang w:val="en-US" w:eastAsia="zh-CN" w:bidi="ar-SA"/>
              </w:rPr>
              <w:t>4.3 Statistical Interpretation of Entropy and the Second Law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color w:val="0000FF"/>
                <w:szCs w:val="22"/>
                <w:lang w:val="en-US" w:eastAsia="zh-CN"/>
              </w:rPr>
              <w:t>Summary and Exercise,Mid-term Exam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The</w:t>
            </w:r>
            <w:r>
              <w:rPr>
                <w:rFonts w:hint="eastAsia"/>
                <w:lang w:val="en-US" w:eastAsia="zh-CN"/>
              </w:rPr>
              <w:t xml:space="preserve"> Fourth </w:t>
            </w:r>
            <w:r>
              <w:rPr>
                <w:rFonts w:hint="eastAsia"/>
              </w:rPr>
              <w:t xml:space="preserve"> part: Optics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 xml:space="preserve">Chapter 1 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The Nature and Propagation of Light</w:t>
            </w:r>
          </w:p>
          <w:p>
            <w:pPr>
              <w:spacing w:line="24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1.1 The Nature of Light</w:t>
            </w:r>
          </w:p>
          <w:p>
            <w:pPr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1.2 Laws of reflection and refraction</w:t>
            </w:r>
          </w:p>
          <w:p>
            <w:pPr>
              <w:spacing w:line="240" w:lineRule="atLeast"/>
              <w:rPr>
                <w:rFonts w:hint="default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1.3Total Internal Reflection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1.4 Huygens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Principle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Chapter 2 Interference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2.1 </w:t>
            </w:r>
            <w:r>
              <w:rPr>
                <w:rFonts w:hint="default"/>
                <w:szCs w:val="22"/>
                <w:lang w:val="en-US" w:eastAsia="zh-CN"/>
              </w:rPr>
              <w:t>Superposition principle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2.2Coherent Light Source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2.3</w:t>
            </w:r>
            <w:r>
              <w:rPr>
                <w:rFonts w:hint="default"/>
                <w:szCs w:val="22"/>
                <w:lang w:val="en-US" w:eastAsia="zh-CN"/>
              </w:rPr>
              <w:t>Two-source interference of light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2.6 </w:t>
            </w:r>
            <w:r>
              <w:rPr>
                <w:rFonts w:hint="default"/>
                <w:szCs w:val="22"/>
                <w:lang w:val="en-US" w:eastAsia="zh-CN"/>
              </w:rPr>
              <w:t>Michelson and Morley’s interferometer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br w:type="textWrapping"/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2.4  Optical path and optical path difference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2.5 </w:t>
            </w:r>
            <w:r>
              <w:rPr>
                <w:rFonts w:hint="default"/>
                <w:szCs w:val="22"/>
                <w:lang w:val="en-US" w:eastAsia="zh-CN"/>
              </w:rPr>
              <w:t>Interference in Thin films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 xml:space="preserve">2.5 </w:t>
            </w:r>
            <w:r>
              <w:rPr>
                <w:rFonts w:hint="default"/>
                <w:szCs w:val="22"/>
                <w:lang w:val="en-US" w:eastAsia="zh-CN"/>
              </w:rPr>
              <w:t>Interference in Thin films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color w:val="0000FF"/>
                <w:szCs w:val="22"/>
                <w:lang w:val="en-US" w:eastAsia="zh-CN"/>
              </w:rPr>
              <w:t>Summary and Exercises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" w:hRule="atLeast"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Chapter 3 Diffraction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3.1Fresnel and Fraunhofer diffraction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3.2 A single-slit Fraunhofer diffraction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  <w:vAlign w:val="top"/>
          </w:tcPr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3.3 Grating diffraction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  <w:vAlign w:val="top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3.3 Grating diffraction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3.4 X-ray diffraction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  <w:vAlign w:val="top"/>
          </w:tcPr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3.5 Circular apertures and resolving power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  <w:vAlign w:val="top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Chapter 4 Polarization of Light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4.1 Phenomenon of Polarization of Light</w:t>
            </w:r>
          </w:p>
          <w:p>
            <w:pPr>
              <w:spacing w:line="240" w:lineRule="atLeast"/>
              <w:rPr>
                <w:rFonts w:hint="default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4.2 malus law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Cs w:val="22"/>
                <w:lang w:val="en-US" w:eastAsia="zh-CN"/>
              </w:rPr>
              <w:t>4.3 Brewster's law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Chapter 5 Quantum Optics</w:t>
            </w:r>
          </w:p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5.1 Plank</w:t>
            </w:r>
            <w:r>
              <w:rPr>
                <w:rFonts w:hint="default"/>
                <w:szCs w:val="22"/>
                <w:lang w:val="en-US" w:eastAsia="zh-CN"/>
              </w:rPr>
              <w:t>’</w:t>
            </w:r>
            <w:r>
              <w:rPr>
                <w:rFonts w:hint="eastAsia"/>
                <w:szCs w:val="22"/>
                <w:lang w:val="en-US" w:eastAsia="zh-CN"/>
              </w:rPr>
              <w:t>s Hypothesis</w:t>
            </w:r>
          </w:p>
          <w:p>
            <w:r>
              <w:rPr>
                <w:rFonts w:hint="eastAsia"/>
                <w:szCs w:val="22"/>
                <w:lang w:val="en-US" w:eastAsia="zh-CN"/>
              </w:rPr>
              <w:t>5.2 Einstein Photoelectric Effect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eastAsia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val="en-US" w:eastAsia="zh-CN"/>
              </w:rPr>
              <w:t>5.3The Compton effect</w:t>
            </w:r>
          </w:p>
          <w:p>
            <w:r>
              <w:rPr>
                <w:rFonts w:hint="eastAsia"/>
                <w:szCs w:val="22"/>
                <w:lang w:val="en-US" w:eastAsia="zh-CN"/>
              </w:rPr>
              <w:t>5.4The nature of photons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31" w:type="dxa"/>
            <w:vMerge w:val="restart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r>
              <w:rPr>
                <w:rFonts w:hint="eastAsia"/>
                <w:szCs w:val="22"/>
                <w:lang w:val="en-US" w:eastAsia="zh-CN"/>
              </w:rPr>
              <w:t>5.5 where does light come from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9" w:hRule="atLeast"/>
        </w:trPr>
        <w:tc>
          <w:tcPr>
            <w:tcW w:w="531" w:type="dxa"/>
            <w:vMerge w:val="continue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77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26" w:type="dxa"/>
            <w:vAlign w:val="center"/>
          </w:tcPr>
          <w:p>
            <w:pPr>
              <w:spacing w:line="240" w:lineRule="atLeast"/>
              <w:jc w:val="center"/>
            </w:pPr>
          </w:p>
        </w:tc>
        <w:tc>
          <w:tcPr>
            <w:tcW w:w="4486" w:type="dxa"/>
          </w:tcPr>
          <w:p>
            <w:pPr>
              <w:spacing w:line="240" w:lineRule="atLeas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color w:val="0000FF"/>
                <w:lang w:val="en-US" w:eastAsia="zh-CN"/>
              </w:rPr>
              <w:t>Summary and Exercises</w:t>
            </w:r>
          </w:p>
        </w:tc>
        <w:tc>
          <w:tcPr>
            <w:tcW w:w="719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  <w:vAlign w:val="center"/>
          </w:tcPr>
          <w:p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540" w:type="dxa"/>
          </w:tcPr>
          <w:p>
            <w:pPr>
              <w:spacing w:line="240" w:lineRule="atLeast"/>
            </w:pPr>
          </w:p>
        </w:tc>
        <w:tc>
          <w:tcPr>
            <w:tcW w:w="915" w:type="dxa"/>
          </w:tcPr>
          <w:p>
            <w:pPr>
              <w:spacing w:line="240" w:lineRule="atLeast"/>
            </w:pPr>
          </w:p>
        </w:tc>
      </w:tr>
    </w:tbl>
    <w:p/>
    <w:p/>
    <w:sectPr>
      <w:pgSz w:w="11907" w:h="16840"/>
      <w:pgMar w:top="1134" w:right="1134" w:bottom="102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j-c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B51"/>
    <w:rsid w:val="00062724"/>
    <w:rsid w:val="00074327"/>
    <w:rsid w:val="00081429"/>
    <w:rsid w:val="000B212B"/>
    <w:rsid w:val="000D1672"/>
    <w:rsid w:val="000F0A56"/>
    <w:rsid w:val="001220C2"/>
    <w:rsid w:val="00153F2F"/>
    <w:rsid w:val="00186A2B"/>
    <w:rsid w:val="001A322D"/>
    <w:rsid w:val="001F2F92"/>
    <w:rsid w:val="00212299"/>
    <w:rsid w:val="0022707C"/>
    <w:rsid w:val="00230432"/>
    <w:rsid w:val="00275B3C"/>
    <w:rsid w:val="0028206B"/>
    <w:rsid w:val="002F559E"/>
    <w:rsid w:val="002F7C17"/>
    <w:rsid w:val="00321D5A"/>
    <w:rsid w:val="00347414"/>
    <w:rsid w:val="003B463B"/>
    <w:rsid w:val="00411226"/>
    <w:rsid w:val="00412104"/>
    <w:rsid w:val="0049059D"/>
    <w:rsid w:val="004A7B7D"/>
    <w:rsid w:val="004B71EA"/>
    <w:rsid w:val="004C1899"/>
    <w:rsid w:val="004D079F"/>
    <w:rsid w:val="004E19F8"/>
    <w:rsid w:val="00516EAC"/>
    <w:rsid w:val="0052023C"/>
    <w:rsid w:val="0054141C"/>
    <w:rsid w:val="00582E7E"/>
    <w:rsid w:val="005B5333"/>
    <w:rsid w:val="005C0DA2"/>
    <w:rsid w:val="005D00ED"/>
    <w:rsid w:val="0060351C"/>
    <w:rsid w:val="00625F45"/>
    <w:rsid w:val="00674DC9"/>
    <w:rsid w:val="006829B1"/>
    <w:rsid w:val="006A49DD"/>
    <w:rsid w:val="006D01CD"/>
    <w:rsid w:val="006D19F2"/>
    <w:rsid w:val="006D55C8"/>
    <w:rsid w:val="0071121D"/>
    <w:rsid w:val="00717208"/>
    <w:rsid w:val="00722751"/>
    <w:rsid w:val="00741D1C"/>
    <w:rsid w:val="00745E20"/>
    <w:rsid w:val="00780A85"/>
    <w:rsid w:val="007B13E7"/>
    <w:rsid w:val="007C1A82"/>
    <w:rsid w:val="007D2A1E"/>
    <w:rsid w:val="007F7982"/>
    <w:rsid w:val="0085655A"/>
    <w:rsid w:val="00877620"/>
    <w:rsid w:val="0088796F"/>
    <w:rsid w:val="0092741E"/>
    <w:rsid w:val="0093115A"/>
    <w:rsid w:val="009653F0"/>
    <w:rsid w:val="00966CC4"/>
    <w:rsid w:val="0097696A"/>
    <w:rsid w:val="009877B1"/>
    <w:rsid w:val="00A014ED"/>
    <w:rsid w:val="00A97318"/>
    <w:rsid w:val="00AE6318"/>
    <w:rsid w:val="00B24B05"/>
    <w:rsid w:val="00B341A5"/>
    <w:rsid w:val="00B40CA5"/>
    <w:rsid w:val="00BA4A17"/>
    <w:rsid w:val="00BC6262"/>
    <w:rsid w:val="00BE1752"/>
    <w:rsid w:val="00C03CC0"/>
    <w:rsid w:val="00C06385"/>
    <w:rsid w:val="00C069D1"/>
    <w:rsid w:val="00C15478"/>
    <w:rsid w:val="00C17E10"/>
    <w:rsid w:val="00C45D51"/>
    <w:rsid w:val="00C951D3"/>
    <w:rsid w:val="00CD0A1A"/>
    <w:rsid w:val="00CE5316"/>
    <w:rsid w:val="00CF7F3F"/>
    <w:rsid w:val="00D26045"/>
    <w:rsid w:val="00DA34EF"/>
    <w:rsid w:val="00DD5763"/>
    <w:rsid w:val="00E035BC"/>
    <w:rsid w:val="00E302CB"/>
    <w:rsid w:val="00E52267"/>
    <w:rsid w:val="00E61811"/>
    <w:rsid w:val="00EA0C0B"/>
    <w:rsid w:val="00EA2541"/>
    <w:rsid w:val="00EC5AB0"/>
    <w:rsid w:val="00EF1119"/>
    <w:rsid w:val="00F15F27"/>
    <w:rsid w:val="00F412C6"/>
    <w:rsid w:val="00F445BB"/>
    <w:rsid w:val="00F723FF"/>
    <w:rsid w:val="00F8728D"/>
    <w:rsid w:val="00FC1F81"/>
    <w:rsid w:val="00FC7B51"/>
    <w:rsid w:val="04860AD9"/>
    <w:rsid w:val="0A555E07"/>
    <w:rsid w:val="0B585E49"/>
    <w:rsid w:val="0E8E4D5A"/>
    <w:rsid w:val="0EAA0A7C"/>
    <w:rsid w:val="14405995"/>
    <w:rsid w:val="24B85CC0"/>
    <w:rsid w:val="25751895"/>
    <w:rsid w:val="25A4638E"/>
    <w:rsid w:val="2717045C"/>
    <w:rsid w:val="35F82B7F"/>
    <w:rsid w:val="425C46E8"/>
    <w:rsid w:val="515842E7"/>
    <w:rsid w:val="59494F18"/>
    <w:rsid w:val="601C4734"/>
    <w:rsid w:val="6AD33F31"/>
    <w:rsid w:val="72613154"/>
    <w:rsid w:val="7AD66272"/>
    <w:rsid w:val="7E7E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Sdjuk</Company>
  <Pages>1</Pages>
  <Words>280</Words>
  <Characters>1596</Characters>
  <Lines>13</Lines>
  <Paragraphs>3</Paragraphs>
  <TotalTime>8</TotalTime>
  <ScaleCrop>false</ScaleCrop>
  <LinksUpToDate>false</LinksUpToDate>
  <CharactersWithSpaces>1873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2018-08-28T13:11:00Z</dcterms:created>
  <dc:creator>Juk</dc:creator>
  <cp:lastModifiedBy>zchou</cp:lastModifiedBy>
  <cp:lastPrinted>2011-07-07T01:05:00Z</cp:lastPrinted>
  <dcterms:modified xsi:type="dcterms:W3CDTF">2019-09-16T01:40:00Z</dcterms:modified>
  <dc:title>20   至20    学年  第    学期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