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9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  <w:lang w:eastAsia="zh-CN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bCs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sz w:val="28"/>
          <w:u w:val="single"/>
        </w:rPr>
        <w:t>金融数学</w:t>
      </w:r>
      <w:r>
        <w:rPr>
          <w:rFonts w:hint="eastAsia"/>
          <w:bCs/>
          <w:sz w:val="28"/>
        </w:rPr>
        <w:t>＿性质</w:t>
      </w:r>
      <w:r>
        <w:rPr>
          <w:bCs/>
          <w:sz w:val="28"/>
          <w:u w:val="single"/>
        </w:rPr>
        <w:t xml:space="preserve">   </w:t>
      </w:r>
      <w:r>
        <w:rPr>
          <w:rFonts w:hint="eastAsia" w:ascii="楷体_GB2312" w:eastAsia="楷体_GB2312"/>
          <w:b/>
          <w:sz w:val="28"/>
          <w:u w:val="single"/>
        </w:rPr>
        <w:t>选修课</w:t>
      </w:r>
      <w:r>
        <w:rPr>
          <w:rFonts w:ascii="楷体_GB2312" w:eastAsia="楷体_GB2312"/>
          <w:b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 xml:space="preserve">  </w:t>
      </w:r>
      <w:r>
        <w:rPr>
          <w:rFonts w:ascii="楷体_GB2312" w:eastAsia="楷体_GB2312"/>
          <w:b/>
          <w:sz w:val="28"/>
          <w:u w:val="single"/>
        </w:rPr>
        <w:t xml:space="preserve">  </w:t>
      </w:r>
    </w:p>
    <w:p>
      <w:pPr>
        <w:spacing w:line="480" w:lineRule="auto"/>
        <w:rPr>
          <w:bCs/>
          <w:sz w:val="28"/>
        </w:rPr>
      </w:pPr>
      <w:r>
        <w:rPr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  <w:lang w:val="en-US" w:eastAsia="zh-CN"/>
        </w:rPr>
        <w:t>48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  <w:lang w:val="en-US" w:eastAsia="zh-CN"/>
        </w:rPr>
        <w:t>48</w:t>
      </w:r>
      <w:r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实验＿</w:t>
      </w:r>
      <w:r>
        <w:rPr>
          <w:bCs/>
          <w:sz w:val="28"/>
          <w:u w:val="single"/>
        </w:rPr>
        <w:t xml:space="preserve"> 0 </w:t>
      </w:r>
      <w:r>
        <w:rPr>
          <w:rFonts w:hint="eastAsia"/>
          <w:bCs/>
          <w:sz w:val="28"/>
        </w:rPr>
        <w:t>＿其它＿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  <w:u w:val="single"/>
        </w:rPr>
        <w:t xml:space="preserve"> </w:t>
      </w:r>
      <w:r>
        <w:rPr>
          <w:rFonts w:ascii="楷体_GB2312" w:eastAsia="楷体_GB2312"/>
          <w:b/>
          <w:sz w:val="28"/>
          <w:u w:val="single"/>
        </w:rPr>
        <w:t xml:space="preserve"> 201</w:t>
      </w:r>
      <w:r>
        <w:rPr>
          <w:rFonts w:hint="eastAsia" w:ascii="楷体_GB2312" w:eastAsia="楷体_GB2312"/>
          <w:b/>
          <w:sz w:val="28"/>
          <w:u w:val="single"/>
          <w:lang w:val="en-US" w:eastAsia="zh-CN"/>
        </w:rPr>
        <w:t>6</w:t>
      </w:r>
      <w:r>
        <w:rPr>
          <w:rFonts w:hint="eastAsia" w:ascii="楷体_GB2312" w:eastAsia="楷体_GB2312"/>
          <w:b/>
          <w:sz w:val="28"/>
          <w:u w:val="single"/>
        </w:rPr>
        <w:t>级数学本科</w:t>
      </w:r>
      <w:r>
        <w:rPr>
          <w:rFonts w:ascii="楷体_GB2312" w:eastAsia="楷体_GB2312"/>
          <w:b/>
          <w:sz w:val="28"/>
          <w:u w:val="single"/>
        </w:rPr>
        <w:t xml:space="preserve"> </w:t>
      </w:r>
      <w:r>
        <w:rPr>
          <w:rFonts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>50</w:t>
      </w:r>
      <w:r>
        <w:rPr>
          <w:rFonts w:hint="eastAsia" w:ascii="楷体_GB2312" w:eastAsia="楷体_GB2312"/>
          <w:b/>
          <w:sz w:val="28"/>
          <w:u w:val="single"/>
        </w:rPr>
        <w:t>人</w:t>
      </w:r>
    </w:p>
    <w:p>
      <w:pPr>
        <w:spacing w:line="360" w:lineRule="auto"/>
        <w:ind w:firstLine="1123"/>
        <w:rPr>
          <w:rFonts w:ascii="楷体_GB2312" w:eastAsia="楷体_GB2312"/>
          <w:b/>
          <w:w w:val="80"/>
          <w:sz w:val="24"/>
          <w:szCs w:val="24"/>
          <w:u w:val="single"/>
        </w:rPr>
      </w:pP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ascii="楷体_GB2312" w:eastAsia="楷体_GB2312"/>
          <w:b/>
          <w:w w:val="80"/>
          <w:sz w:val="24"/>
          <w:szCs w:val="24"/>
          <w:u w:val="single"/>
        </w:rPr>
        <w:t xml:space="preserve">      </w:t>
      </w:r>
      <w:r>
        <w:rPr>
          <w:rFonts w:ascii="楷体_GB2312" w:eastAsia="楷体_GB2312"/>
          <w:b/>
          <w:sz w:val="28"/>
          <w:u w:val="single"/>
        </w:rPr>
        <w:t>彭晓明</w:t>
      </w:r>
      <w:r>
        <w:rPr>
          <w:rFonts w:hint="eastAsia" w:ascii="楷体_GB2312" w:eastAsia="楷体_GB2312"/>
          <w:b/>
          <w:sz w:val="28"/>
          <w:u w:val="single"/>
        </w:rPr>
        <w:t xml:space="preserve"> </w:t>
      </w:r>
      <w:r>
        <w:rPr>
          <w:rFonts w:ascii="楷体_GB2312" w:eastAsia="楷体_GB2312"/>
          <w:b/>
          <w:color w:val="000000"/>
          <w:spacing w:val="-10"/>
          <w:szCs w:val="21"/>
          <w:u w:val="single"/>
        </w:rPr>
        <w:t xml:space="preserve">       </w:t>
      </w:r>
      <w:r>
        <w:rPr>
          <w:rFonts w:ascii="楷体_GB2312" w:hAnsi="宋体" w:eastAsia="楷体_GB2312" w:cs="宋体"/>
          <w:b/>
          <w:color w:val="000000"/>
          <w:spacing w:val="-10"/>
          <w:kern w:val="0"/>
          <w:szCs w:val="21"/>
          <w:u w:val="single"/>
        </w:rPr>
        <w:t xml:space="preserve"> </w:t>
      </w: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ascii="楷体_GB2312" w:hAnsi="宋体" w:eastAsia="楷体_GB2312"/>
          <w:b/>
          <w:color w:val="000000"/>
          <w:szCs w:val="21"/>
          <w:u w:val="single"/>
        </w:rPr>
        <w:t xml:space="preserve">    </w:t>
      </w:r>
      <w:r>
        <w:rPr>
          <w:rFonts w:hint="eastAsia" w:ascii="楷体_GB2312" w:eastAsia="楷体_GB2312"/>
          <w:b/>
          <w:sz w:val="28"/>
          <w:u w:val="single"/>
        </w:rPr>
        <w:t>讲师</w:t>
      </w:r>
      <w:r>
        <w:rPr>
          <w:rFonts w:hint="eastAsia" w:ascii="楷体_GB2312" w:eastAsia="楷体_GB2312"/>
          <w:b/>
          <w:color w:val="000000"/>
          <w:spacing w:val="-10"/>
          <w:szCs w:val="21"/>
          <w:u w:val="single"/>
        </w:rPr>
        <w:t xml:space="preserve"> </w:t>
      </w:r>
      <w:r>
        <w:rPr>
          <w:rFonts w:hint="eastAsia"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 w:ascii="楷体_GB2312" w:hAnsi="宋体" w:eastAsia="楷体_GB2312"/>
          <w:b/>
          <w:color w:val="000000"/>
          <w:szCs w:val="21"/>
          <w:u w:val="single"/>
        </w:rPr>
        <w:t xml:space="preserve"> </w:t>
      </w:r>
      <w:r>
        <w:rPr>
          <w:rFonts w:hint="eastAsia" w:ascii="楷体_GB2312" w:eastAsia="楷体_GB2312"/>
          <w:b/>
          <w:color w:val="000000"/>
          <w:spacing w:val="-10"/>
          <w:sz w:val="24"/>
          <w:szCs w:val="24"/>
          <w:u w:val="single"/>
        </w:rPr>
        <w:t xml:space="preserve"> 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ascii="楷体_GB2312" w:eastAsia="楷体_GB2312"/>
          <w:sz w:val="28"/>
          <w:u w:val="single"/>
        </w:rPr>
        <w:t xml:space="preserve">         </w:t>
      </w:r>
      <w:r>
        <w:rPr>
          <w:rFonts w:hint="eastAsia" w:ascii="楷体_GB2312" w:eastAsia="楷体_GB2312"/>
          <w:b/>
          <w:sz w:val="28"/>
          <w:u w:val="single"/>
        </w:rPr>
        <w:t>理学院数学系</w:t>
      </w:r>
      <w:r>
        <w:rPr>
          <w:rFonts w:ascii="楷体_GB2312" w:eastAsia="楷体_GB2312"/>
          <w:sz w:val="28"/>
          <w:u w:val="single"/>
        </w:rPr>
        <w:t xml:space="preserve">  </w:t>
      </w:r>
      <w:r>
        <w:rPr>
          <w:rFonts w:hint="eastAsia" w:ascii="楷体_GB2312" w:eastAsia="楷体_GB2312"/>
          <w:sz w:val="28"/>
          <w:u w:val="single"/>
        </w:rPr>
        <w:t xml:space="preserve">  </w:t>
      </w:r>
      <w:r>
        <w:rPr>
          <w:rFonts w:ascii="楷体_GB2312" w:eastAsia="楷体_GB2312"/>
          <w:sz w:val="28"/>
          <w:u w:val="single"/>
        </w:rPr>
        <w:t xml:space="preserve"> 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  <w:u w:val="single"/>
        </w:rPr>
        <w:t xml:space="preserve">       </w:t>
      </w:r>
      <w:r>
        <w:rPr>
          <w:rFonts w:hint="eastAsia" w:ascii="楷体_GB2312" w:eastAsia="楷体_GB2312"/>
          <w:b/>
          <w:sz w:val="28"/>
          <w:u w:val="single"/>
          <w:lang w:eastAsia="zh-CN"/>
        </w:rPr>
        <w:t>高阳</w:t>
      </w:r>
      <w:r>
        <w:rPr>
          <w:sz w:val="28"/>
          <w:u w:val="single"/>
        </w:rPr>
        <w:t xml:space="preserve">         </w:t>
      </w:r>
      <w:r>
        <w:rPr>
          <w:rFonts w:hint="eastAsia"/>
          <w:sz w:val="28"/>
          <w:u w:val="single"/>
        </w:rPr>
        <w:t xml:space="preserve"> 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教材名称：《证券组合与投资分析》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>作者：欧阳光中 李敬湖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出版单位：高等教育出版社　　　出版时间：</w:t>
      </w:r>
      <w:r>
        <w:rPr>
          <w:rFonts w:eastAsia="仿宋_GB2312"/>
          <w:b/>
          <w:bCs/>
          <w:sz w:val="24"/>
        </w:rPr>
        <w:t>1997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outlineLvl w:val="0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．如有变动，须经课程所属系主任（教研室主任）批准，并报院（系、部）办公室备查．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．上机、大作业、课堂讨论、外出参观、考试等如占课内学时，在“备注”栏内注明．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tbl>
      <w:tblPr>
        <w:tblStyle w:val="8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92"/>
        <w:gridCol w:w="4320"/>
        <w:gridCol w:w="835"/>
        <w:gridCol w:w="488"/>
        <w:gridCol w:w="11"/>
        <w:gridCol w:w="477"/>
        <w:gridCol w:w="26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75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20" w:type="dxa"/>
            <w:vMerge w:val="restart"/>
            <w:vAlign w:val="center"/>
          </w:tcPr>
          <w:p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35" w:type="dxa"/>
            <w:vMerge w:val="restart"/>
            <w:tcMar>
              <w:left w:w="0" w:type="dxa"/>
              <w:right w:w="0" w:type="dxa"/>
            </w:tcMar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64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</w:t>
            </w:r>
          </w:p>
          <w:p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vMerge w:val="restart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星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92" w:type="dxa"/>
            <w:vMerge w:val="restart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节</w:t>
            </w:r>
          </w:p>
          <w:p>
            <w:pPr>
              <w:ind w:left="420" w:hanging="420" w:hangingChars="20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20" w:type="dxa"/>
            <w:vMerge w:val="continue"/>
          </w:tcPr>
          <w:p/>
        </w:tc>
        <w:tc>
          <w:tcPr>
            <w:tcW w:w="835" w:type="dxa"/>
            <w:vMerge w:val="continue"/>
          </w:tcPr>
          <w:p/>
        </w:tc>
        <w:tc>
          <w:tcPr>
            <w:tcW w:w="499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2" w:type="dxa"/>
            <w:vMerge w:val="continue"/>
            <w:vAlign w:val="center"/>
          </w:tcPr>
          <w:p>
            <w:pPr>
              <w:ind w:left="420" w:hanging="420" w:hangingChars="200"/>
              <w:jc w:val="center"/>
            </w:pPr>
          </w:p>
        </w:tc>
        <w:tc>
          <w:tcPr>
            <w:tcW w:w="4320" w:type="dxa"/>
            <w:vAlign w:val="center"/>
          </w:tcPr>
          <w:p>
            <w:r>
              <w:rPr>
                <w:rFonts w:hint="eastAsia"/>
              </w:rPr>
              <w:t>次数</w:t>
            </w:r>
            <w:r>
              <w:t xml:space="preserve">    </w:t>
            </w:r>
            <w:r>
              <w:rPr>
                <w:rFonts w:hint="eastAsia"/>
              </w:rPr>
              <w:t>授课日期</w:t>
            </w:r>
            <w:r>
              <w:t xml:space="preserve">     </w:t>
            </w:r>
            <w:r>
              <w:rPr>
                <w:rFonts w:hint="eastAsia"/>
              </w:rPr>
              <w:t>所授内容</w:t>
            </w:r>
          </w:p>
        </w:tc>
        <w:tc>
          <w:tcPr>
            <w:tcW w:w="835" w:type="dxa"/>
            <w:vMerge w:val="continue"/>
          </w:tcPr>
          <w:p/>
        </w:tc>
        <w:tc>
          <w:tcPr>
            <w:tcW w:w="499" w:type="dxa"/>
            <w:gridSpan w:val="2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7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金融的本质，金融市场分类，货币市场，外汇市场，证券市场，期货市场，贵金属市场，保险，信托等介绍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8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股份制的本质，欧洲经济史，企业所有权与经营权的分离，有限责任公司介绍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公司的风险控制，风险控制手段，经营多元化与风控的关系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88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8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国外资本市场的现状，美国和欧洲道路的不同点，法律和信托责任对资本市场的影响，中国诚信体制的建立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8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证券组合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1，收收益与风险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1，收收益与风险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2，组合的收益与风险，有效前沿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3，无风险证券与风险证券的组合</w:t>
            </w:r>
          </w:p>
          <w:p>
            <w:pPr>
              <w:rPr>
                <w:szCs w:val="21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十一放假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十一放假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第二章 资本资产定价模型和套利定价理论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1，概括的描述</w:t>
            </w:r>
          </w:p>
          <w:p>
            <w:pPr>
              <w:rPr>
                <w:szCs w:val="21"/>
              </w:rPr>
            </w:pP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2，资本资产定价模型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2，资本资产定价模型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3，特征线</w:t>
            </w:r>
          </w:p>
          <w:p>
            <w:pPr>
              <w:snapToGrid w:val="0"/>
              <w:rPr>
                <w:szCs w:val="21"/>
              </w:rPr>
            </w:pP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8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3，特征线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  <w:p>
            <w:pPr>
              <w:snapToGrid w:val="0"/>
              <w:rPr>
                <w:szCs w:val="21"/>
                <w:highlight w:val="yellow"/>
              </w:rPr>
            </w:pP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4，因素模型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4，因素模型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第三章 证券的评价</w:t>
            </w:r>
          </w:p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1，普通股股票的评价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1，普通股股票的评价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  <w:textDirection w:val="lrTb"/>
            <w:vAlign w:val="top"/>
          </w:tcPr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2，债券的评价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snapToGrid w:val="0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2，债券的评价</w:t>
            </w:r>
            <w:r>
              <w:rPr>
                <w:rFonts w:hint="eastAsia"/>
                <w:szCs w:val="21"/>
                <w:lang w:eastAsia="zh-CN"/>
              </w:rPr>
              <w:t>（续）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</w:rPr>
              <w:t>3，投资管理和投资评价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12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二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4320" w:type="dxa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期末复习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99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03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四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extDirection w:val="lrTb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43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期末复习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99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03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eastAsia" w:eastAsia="宋体"/>
          <w:color w:val="000000"/>
          <w:lang w:eastAsia="zh-CN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541B9"/>
    <w:multiLevelType w:val="multilevel"/>
    <w:tmpl w:val="4E6541B9"/>
    <w:lvl w:ilvl="0" w:tentative="0">
      <w:start w:val="1"/>
      <w:numFmt w:val="japaneseCounting"/>
      <w:lvlText w:val="第%1章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formatting="1"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1E9"/>
    <w:rsid w:val="00022F94"/>
    <w:rsid w:val="000906DE"/>
    <w:rsid w:val="000D3E55"/>
    <w:rsid w:val="000D6120"/>
    <w:rsid w:val="000E0474"/>
    <w:rsid w:val="00145D8E"/>
    <w:rsid w:val="001930ED"/>
    <w:rsid w:val="001E58C1"/>
    <w:rsid w:val="00205557"/>
    <w:rsid w:val="002309E1"/>
    <w:rsid w:val="002614AB"/>
    <w:rsid w:val="002630F1"/>
    <w:rsid w:val="00322334"/>
    <w:rsid w:val="00356445"/>
    <w:rsid w:val="003965C9"/>
    <w:rsid w:val="003B759D"/>
    <w:rsid w:val="004606C8"/>
    <w:rsid w:val="00477316"/>
    <w:rsid w:val="00485066"/>
    <w:rsid w:val="004A3050"/>
    <w:rsid w:val="004E5BE6"/>
    <w:rsid w:val="00516566"/>
    <w:rsid w:val="00523F76"/>
    <w:rsid w:val="0065711D"/>
    <w:rsid w:val="007B2DF3"/>
    <w:rsid w:val="007D37EB"/>
    <w:rsid w:val="007F5548"/>
    <w:rsid w:val="00811731"/>
    <w:rsid w:val="00827F52"/>
    <w:rsid w:val="00860BF5"/>
    <w:rsid w:val="0089343D"/>
    <w:rsid w:val="00955C07"/>
    <w:rsid w:val="009A21D7"/>
    <w:rsid w:val="009A7E78"/>
    <w:rsid w:val="00AF11E9"/>
    <w:rsid w:val="00B840B3"/>
    <w:rsid w:val="00BB0820"/>
    <w:rsid w:val="00CE5A05"/>
    <w:rsid w:val="00D50146"/>
    <w:rsid w:val="00D62298"/>
    <w:rsid w:val="00D9462D"/>
    <w:rsid w:val="00DB1412"/>
    <w:rsid w:val="00F712BE"/>
    <w:rsid w:val="00FB7F63"/>
    <w:rsid w:val="00FD31E3"/>
    <w:rsid w:val="34EA347D"/>
    <w:rsid w:val="3E331274"/>
    <w:rsid w:val="42FC7358"/>
    <w:rsid w:val="68FD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9">
    <w:name w:val="标题 1 Char"/>
    <w:basedOn w:val="6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0">
    <w:name w:val="批注框文本 Char"/>
    <w:basedOn w:val="6"/>
    <w:link w:val="3"/>
    <w:semiHidden/>
    <w:locked/>
    <w:uiPriority w:val="99"/>
    <w:rPr>
      <w:rFonts w:cs="Times New Roman"/>
      <w:sz w:val="2"/>
    </w:rPr>
  </w:style>
  <w:style w:type="character" w:customStyle="1" w:styleId="11">
    <w:name w:val="页眉 Char"/>
    <w:basedOn w:val="6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页脚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2</Pages>
  <Words>182</Words>
  <Characters>1040</Characters>
  <Lines>8</Lines>
  <Paragraphs>2</Paragraphs>
  <ScaleCrop>false</ScaleCrop>
  <LinksUpToDate>false</LinksUpToDate>
  <CharactersWithSpaces>1220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2018-03-08T08:28:00Z</dcterms:created>
  <dc:creator>Juk</dc:creator>
  <cp:lastModifiedBy>zhaotongyuan</cp:lastModifiedBy>
  <cp:lastPrinted>2008-02-06T15:20:00Z</cp:lastPrinted>
  <dcterms:modified xsi:type="dcterms:W3CDTF">2019-09-04T02:49:32Z</dcterms:modified>
  <dc:title>20   至20    学年  第    学期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